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DFDA" w14:textId="538017D2" w:rsidR="000005C6" w:rsidRDefault="00C80E37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様式経領－</w:t>
      </w:r>
      <w:r>
        <w:rPr>
          <w:rFonts w:ascii="ＭＳ 明朝" w:hAnsi="ＭＳ 明朝" w:hint="eastAsia"/>
          <w:color w:val="000000" w:themeColor="text1"/>
        </w:rPr>
        <w:t>８</w:t>
      </w:r>
    </w:p>
    <w:p w14:paraId="3019A854" w14:textId="77777777" w:rsidR="000005C6" w:rsidRDefault="00C80E37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　　年　　月　　日</w:t>
      </w:r>
    </w:p>
    <w:p w14:paraId="635B7B33" w14:textId="77777777" w:rsidR="000005C6" w:rsidRDefault="00C80E37">
      <w:pPr>
        <w:spacing w:beforeLines="30" w:before="85" w:afterLines="20" w:after="57"/>
        <w:jc w:val="center"/>
        <w:rPr>
          <w:rFonts w:ascii="ＭＳ 明朝" w:hAnsi="ＭＳ 明朝"/>
          <w:color w:val="000000"/>
          <w:kern w:val="0"/>
          <w:sz w:val="26"/>
        </w:rPr>
      </w:pPr>
      <w:r>
        <w:rPr>
          <w:rFonts w:ascii="ＭＳ 明朝" w:hAnsi="ＭＳ 明朝" w:hint="eastAsia"/>
          <w:color w:val="000000"/>
          <w:kern w:val="0"/>
          <w:sz w:val="24"/>
        </w:rPr>
        <w:t>秋田県経営安定資金（</w:t>
      </w:r>
      <w:r>
        <w:rPr>
          <w:rFonts w:ascii="ＭＳ 明朝" w:hAnsi="ＭＳ 明朝" w:hint="eastAsia"/>
          <w:b/>
          <w:color w:val="000000"/>
          <w:kern w:val="0"/>
          <w:sz w:val="24"/>
          <w:u w:val="single"/>
        </w:rPr>
        <w:t>原油・原材料等価格高騰対策枠</w:t>
      </w:r>
      <w:r>
        <w:rPr>
          <w:rFonts w:ascii="ＭＳ 明朝" w:hAnsi="ＭＳ 明朝" w:hint="eastAsia"/>
          <w:color w:val="000000"/>
          <w:kern w:val="0"/>
          <w:sz w:val="24"/>
        </w:rPr>
        <w:t>）要件確認書</w:t>
      </w:r>
    </w:p>
    <w:p w14:paraId="479247D1" w14:textId="77777777" w:rsidR="000005C6" w:rsidRDefault="000005C6">
      <w:pPr>
        <w:spacing w:beforeLines="30" w:before="85"/>
        <w:rPr>
          <w:rFonts w:ascii="ＭＳ 明朝" w:hAnsi="ＭＳ 明朝"/>
          <w:color w:val="000000"/>
        </w:rPr>
      </w:pPr>
    </w:p>
    <w:p w14:paraId="51D9F32B" w14:textId="77777777" w:rsidR="000005C6" w:rsidRDefault="00C80E37">
      <w:pPr>
        <w:spacing w:beforeLines="30" w:before="85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秋田県信用保証協会　様</w:t>
      </w:r>
    </w:p>
    <w:p w14:paraId="31529515" w14:textId="77777777" w:rsidR="000005C6" w:rsidRDefault="00C80E37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（中小企業者）</w:t>
      </w:r>
    </w:p>
    <w:p w14:paraId="482E2603" w14:textId="77777777" w:rsidR="000005C6" w:rsidRDefault="00C80E37">
      <w:pPr>
        <w:spacing w:beforeLines="30" w:before="85"/>
        <w:ind w:firstLineChars="1411" w:firstLine="340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所　　在　　地</w:t>
      </w:r>
    </w:p>
    <w:p w14:paraId="2D7523B2" w14:textId="77777777" w:rsidR="000005C6" w:rsidRDefault="00C80E37">
      <w:pPr>
        <w:ind w:firstLineChars="1411" w:firstLine="340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名称</w:t>
      </w:r>
      <w:r>
        <w:rPr>
          <w:rFonts w:ascii="ＭＳ 明朝" w:hAnsi="ＭＳ 明朝" w:hint="eastAsia"/>
          <w:color w:val="000000"/>
        </w:rPr>
        <w:t>(</w:t>
      </w:r>
      <w:r>
        <w:rPr>
          <w:rFonts w:ascii="ＭＳ 明朝" w:hAnsi="ＭＳ 明朝" w:hint="eastAsia"/>
          <w:color w:val="000000"/>
        </w:rPr>
        <w:t>商号</w:t>
      </w:r>
      <w:r>
        <w:rPr>
          <w:rFonts w:ascii="ＭＳ 明朝" w:hAnsi="ＭＳ 明朝" w:hint="eastAsia"/>
          <w:color w:val="000000"/>
        </w:rPr>
        <w:t>)</w:t>
      </w:r>
    </w:p>
    <w:p w14:paraId="01E73F01" w14:textId="77777777" w:rsidR="000005C6" w:rsidRDefault="00C80E37">
      <w:pPr>
        <w:ind w:firstLineChars="1411" w:firstLine="340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氏名</w:t>
      </w:r>
      <w:r>
        <w:rPr>
          <w:rFonts w:ascii="ＭＳ 明朝" w:hAnsi="ＭＳ 明朝" w:hint="eastAsia"/>
          <w:color w:val="000000"/>
        </w:rPr>
        <w:t>(</w:t>
      </w:r>
      <w:r>
        <w:rPr>
          <w:rFonts w:ascii="ＭＳ 明朝" w:hAnsi="ＭＳ 明朝" w:hint="eastAsia"/>
          <w:color w:val="000000"/>
        </w:rPr>
        <w:t>代表者名</w:t>
      </w:r>
      <w:r>
        <w:rPr>
          <w:rFonts w:ascii="ＭＳ 明朝" w:hAnsi="ＭＳ 明朝" w:hint="eastAsia"/>
          <w:color w:val="000000"/>
        </w:rPr>
        <w:t>)</w:t>
      </w:r>
      <w:r>
        <w:rPr>
          <w:rFonts w:ascii="ＭＳ 明朝" w:hAnsi="ＭＳ 明朝" w:hint="eastAsia"/>
          <w:color w:val="000000"/>
        </w:rPr>
        <w:t xml:space="preserve">　　　　　　　　　　　　　　　　</w:t>
      </w:r>
    </w:p>
    <w:p w14:paraId="1F68CCF3" w14:textId="77777777" w:rsidR="000005C6" w:rsidRDefault="00C80E37">
      <w:pPr>
        <w:spacing w:line="280" w:lineRule="exact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生年月日　明・大・昭　　年　　月　　日</w:t>
      </w:r>
    </w:p>
    <w:p w14:paraId="128B59FA" w14:textId="77777777" w:rsidR="000005C6" w:rsidRDefault="00C80E37">
      <w:pPr>
        <w:ind w:firstLineChars="1394" w:firstLine="3359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電話番号　　　　　　　</w:t>
      </w:r>
      <w:r>
        <w:rPr>
          <w:rFonts w:ascii="ＭＳ 明朝" w:hAnsi="ＭＳ 明朝" w:hint="eastAsia"/>
          <w:color w:val="000000"/>
        </w:rPr>
        <w:t>(          )</w:t>
      </w:r>
    </w:p>
    <w:p w14:paraId="0707922F" w14:textId="77777777" w:rsidR="000005C6" w:rsidRDefault="000005C6">
      <w:pPr>
        <w:rPr>
          <w:rFonts w:ascii="ＭＳ 明朝" w:hAnsi="ＭＳ 明朝"/>
          <w:color w:val="000000"/>
        </w:rPr>
      </w:pPr>
    </w:p>
    <w:tbl>
      <w:tblPr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9"/>
        <w:gridCol w:w="3246"/>
      </w:tblGrid>
      <w:tr w:rsidR="000005C6" w14:paraId="0F890B2F" w14:textId="77777777">
        <w:trPr>
          <w:trHeight w:val="454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87FB7B1" w14:textId="77777777" w:rsidR="000005C6" w:rsidRDefault="00C80E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</w:rPr>
              <w:t>価格高騰の影響を受けている主要原材料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6B6D7FE" w14:textId="77777777" w:rsidR="000005C6" w:rsidRDefault="000005C6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177ED0BC" w14:textId="77777777" w:rsidR="000005C6" w:rsidRDefault="00C80E37">
      <w:pPr>
        <w:ind w:firstLineChars="1394" w:firstLine="3359"/>
        <w:rPr>
          <w:rFonts w:ascii="ＭＳ 明朝" w:hAnsi="ＭＳ 明朝"/>
          <w:color w:val="00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9" behindDoc="0" locked="0" layoutInCell="1" hidden="0" allowOverlap="1" wp14:anchorId="7136D938" wp14:editId="603828FC">
                <wp:simplePos x="0" y="0"/>
                <wp:positionH relativeFrom="column">
                  <wp:posOffset>-84455</wp:posOffset>
                </wp:positionH>
                <wp:positionV relativeFrom="paragraph">
                  <wp:posOffset>-286385</wp:posOffset>
                </wp:positionV>
                <wp:extent cx="107950" cy="3131820"/>
                <wp:effectExtent l="635" t="635" r="29845" b="10795"/>
                <wp:wrapNone/>
                <wp:docPr id="1031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3131820"/>
                        </a:xfrm>
                        <a:prstGeom prst="leftBracket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オブジェクト 0" style="mso-wrap-distance-right:16pt;mso-wrap-distance-bottom:0pt;margin-top:-22.55pt;mso-position-vertical-relative:text;mso-position-horizontal-relative:text;position:absolute;height:246.6pt;mso-wrap-distance-top:0pt;width:8.5pt;mso-wrap-distance-left:16pt;margin-left:-6.65pt;z-index:9;" o:spid="_x0000_s1031" o:allowincell="t" o:allowoverlap="t" filled="f" stroked="t" strokecolor="#000000 [3213]" strokeweight="0.5pt" o:spt="85" type="#_x0000_t85" adj="1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 w14:paraId="771A7AC9" w14:textId="77777777" w:rsidR="000005C6" w:rsidRDefault="00C80E37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【要件①】原材料等の仕入単価の上昇（</w:t>
      </w:r>
      <w:r>
        <w:rPr>
          <w:rFonts w:ascii="ＭＳ 明朝" w:hAnsi="ＭＳ 明朝" w:hint="eastAsia"/>
        </w:rPr>
        <w:t>※仕入伝票、試算表等により記載してください。</w:t>
      </w:r>
      <w:r>
        <w:rPr>
          <w:rFonts w:ascii="ＭＳ 明朝" w:hAnsi="ＭＳ 明朝" w:hint="eastAsia"/>
          <w:color w:val="000000"/>
        </w:rPr>
        <w:t>）</w:t>
      </w:r>
    </w:p>
    <w:tbl>
      <w:tblPr>
        <w:tblW w:w="9865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2798"/>
        <w:gridCol w:w="381"/>
        <w:gridCol w:w="2797"/>
        <w:gridCol w:w="2042"/>
        <w:gridCol w:w="1466"/>
      </w:tblGrid>
      <w:tr w:rsidR="000005C6" w14:paraId="28444E7B" w14:textId="77777777">
        <w:trPr>
          <w:trHeight w:val="283"/>
        </w:trPr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DE55D97" w14:textId="77777777" w:rsidR="000005C6" w:rsidRDefault="00C80E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最近１か月の平均仕入単価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3444B56" w14:textId="77777777" w:rsidR="000005C6" w:rsidRDefault="00C80E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前年同期の平均仕入単価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0B0826" w14:textId="77777777" w:rsidR="000005C6" w:rsidRDefault="00C80E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上昇率</w:t>
            </w:r>
            <w:r>
              <w:rPr>
                <w:rFonts w:ascii="ＭＳ 明朝" w:hAnsi="ＭＳ 明朝" w:hint="eastAsia"/>
              </w:rPr>
              <w:t xml:space="preserve"> (</w:t>
            </w:r>
            <w:r>
              <w:rPr>
                <w:rFonts w:ascii="ＭＳ 明朝" w:hAnsi="ＭＳ 明朝" w:hint="eastAsia"/>
              </w:rPr>
              <w:t>Ｅ÷ｅ</w:t>
            </w:r>
            <w:r>
              <w:rPr>
                <w:rFonts w:ascii="ＭＳ 明朝" w:hAnsi="ＭＳ 明朝" w:hint="eastAsia"/>
              </w:rPr>
              <w:t>)</w:t>
            </w:r>
            <w:r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 w:hint="eastAsia"/>
              </w:rPr>
              <w:t>100</w:t>
            </w:r>
            <w:r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100</w:t>
            </w:r>
          </w:p>
        </w:tc>
      </w:tr>
      <w:tr w:rsidR="000005C6" w14:paraId="18644AD3" w14:textId="77777777">
        <w:trPr>
          <w:trHeight w:val="45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F8392C2" w14:textId="77777777" w:rsidR="000005C6" w:rsidRDefault="00C80E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5A200A8" w14:textId="77777777" w:rsidR="000005C6" w:rsidRDefault="00C80E3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3000140" w14:textId="77777777" w:rsidR="000005C6" w:rsidRDefault="00C80E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ｅ　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23CD461" w14:textId="77777777" w:rsidR="000005C6" w:rsidRDefault="00C80E3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2AC8F2B" w14:textId="77777777" w:rsidR="000005C6" w:rsidRDefault="00C80E3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0FD16E6" w14:textId="77777777" w:rsidR="000005C6" w:rsidRDefault="00C80E3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>≧２０％</w:t>
            </w:r>
          </w:p>
        </w:tc>
      </w:tr>
    </w:tbl>
    <w:p w14:paraId="5A974F40" w14:textId="77777777" w:rsidR="000005C6" w:rsidRDefault="00C80E37">
      <w:pPr>
        <w:spacing w:line="140" w:lineRule="exact"/>
        <w:rPr>
          <w:rFonts w:ascii="ＭＳ 明朝" w:hAnsi="ＭＳ 明朝"/>
          <w:color w:val="00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8" behindDoc="0" locked="0" layoutInCell="1" hidden="0" allowOverlap="1" wp14:anchorId="65893E43" wp14:editId="5D266DB3">
                <wp:simplePos x="0" y="0"/>
                <wp:positionH relativeFrom="column">
                  <wp:posOffset>-391795</wp:posOffset>
                </wp:positionH>
                <wp:positionV relativeFrom="paragraph">
                  <wp:posOffset>-123190</wp:posOffset>
                </wp:positionV>
                <wp:extent cx="337820" cy="1922145"/>
                <wp:effectExtent l="0" t="0" r="635" b="635"/>
                <wp:wrapNone/>
                <wp:docPr id="1032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192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C4D3D" w14:textId="77777777" w:rsidR="000005C6" w:rsidRDefault="00C80E37">
                            <w:r>
                              <w:rPr>
                                <w:rFonts w:hint="eastAsia"/>
                              </w:rPr>
                              <w:t>記　入　必　須</w:t>
                            </w:r>
                          </w:p>
                        </w:txbxContent>
                      </wps:txbx>
                      <wps:bodyPr vertOverflow="overflow" horzOverflow="overflow" vert="eaVert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9.69pt;mso-position-vertical-relative:text;mso-position-horizontal-relative:text;v-text-anchor:middle;position:absolute;height:151.35pt;mso-wrap-distance-top:0pt;width:26.6pt;mso-wrap-distance-left:16pt;margin-left:-30.85pt;z-index:8;" o:spid="_x0000_s1032" o:allowincell="t" o:allowoverlap="t" filled="t" fillcolor="#ffffff" stroked="f" strokeweight="0.5pt" o:spt="202" type="#_x0000_t202">
                <v:fill/>
                <v:stroke linestyle="single"/>
                <v:textbox style="layout-flow:vertical-ideographic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　入　必　須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14:paraId="79C838D7" w14:textId="77777777" w:rsidR="000005C6" w:rsidRDefault="00C80E37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【要件②】原材料等が売上原価に占める割合</w:t>
      </w:r>
      <w:r>
        <w:rPr>
          <w:rFonts w:ascii="ＭＳ 明朝" w:hAnsi="ＭＳ 明朝" w:hint="eastAsia"/>
          <w:color w:val="000000"/>
          <w:spacing w:val="-12"/>
        </w:rPr>
        <w:t>（</w:t>
      </w:r>
      <w:r>
        <w:rPr>
          <w:rFonts w:ascii="ＭＳ 明朝" w:hAnsi="ＭＳ 明朝" w:hint="eastAsia"/>
          <w:spacing w:val="-12"/>
        </w:rPr>
        <w:t>※決算書、試算表等により記載してください。</w:t>
      </w:r>
      <w:r>
        <w:rPr>
          <w:rFonts w:ascii="ＭＳ 明朝" w:hAnsi="ＭＳ 明朝" w:hint="eastAsia"/>
          <w:color w:val="000000"/>
          <w:spacing w:val="-12"/>
        </w:rPr>
        <w:t>）</w:t>
      </w:r>
    </w:p>
    <w:tbl>
      <w:tblPr>
        <w:tblW w:w="9865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2798"/>
        <w:gridCol w:w="381"/>
        <w:gridCol w:w="2797"/>
        <w:gridCol w:w="2042"/>
        <w:gridCol w:w="1466"/>
      </w:tblGrid>
      <w:tr w:rsidR="000005C6" w14:paraId="63EE7993" w14:textId="77777777">
        <w:trPr>
          <w:trHeight w:val="283"/>
        </w:trPr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1399435" w14:textId="77777777" w:rsidR="000005C6" w:rsidRDefault="00C80E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最新の売上原価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8F771B8" w14:textId="77777777" w:rsidR="000005C6" w:rsidRDefault="00C80E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Ｃに対応する原材料等仕入価格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7D29015" w14:textId="77777777" w:rsidR="000005C6" w:rsidRDefault="00C80E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依存率（Ｓ÷Ｃ）×</w:t>
            </w:r>
            <w:r>
              <w:rPr>
                <w:rFonts w:ascii="ＭＳ 明朝" w:hAnsi="ＭＳ 明朝" w:hint="eastAsia"/>
              </w:rPr>
              <w:t>100</w:t>
            </w:r>
          </w:p>
        </w:tc>
      </w:tr>
      <w:tr w:rsidR="000005C6" w14:paraId="51CD6964" w14:textId="77777777">
        <w:trPr>
          <w:trHeight w:val="45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EBAF7A9" w14:textId="77777777" w:rsidR="000005C6" w:rsidRDefault="00C80E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Ｃ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5BBE083" w14:textId="77777777" w:rsidR="000005C6" w:rsidRDefault="00C80E3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3A104CA" w14:textId="77777777" w:rsidR="000005C6" w:rsidRDefault="00C80E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Ｓ　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3419553" w14:textId="77777777" w:rsidR="000005C6" w:rsidRDefault="00C80E3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60A3FC2" w14:textId="77777777" w:rsidR="000005C6" w:rsidRDefault="00C80E3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23CCE91" w14:textId="77777777" w:rsidR="000005C6" w:rsidRDefault="00C80E3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>≧２０％</w:t>
            </w:r>
          </w:p>
        </w:tc>
      </w:tr>
    </w:tbl>
    <w:p w14:paraId="5050FD90" w14:textId="77777777" w:rsidR="000005C6" w:rsidRDefault="000005C6">
      <w:pPr>
        <w:spacing w:line="140" w:lineRule="exact"/>
        <w:rPr>
          <w:rFonts w:ascii="ＭＳ 明朝" w:hAnsi="ＭＳ 明朝"/>
          <w:color w:val="000000"/>
        </w:rPr>
      </w:pPr>
    </w:p>
    <w:p w14:paraId="4E1C6E27" w14:textId="77777777" w:rsidR="000005C6" w:rsidRDefault="00C80E37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【要件③】製品等価格への転嫁の状況</w:t>
      </w:r>
    </w:p>
    <w:tbl>
      <w:tblPr>
        <w:tblW w:w="9881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399"/>
        <w:gridCol w:w="1710"/>
        <w:gridCol w:w="399"/>
        <w:gridCol w:w="1709"/>
        <w:gridCol w:w="1824"/>
        <w:gridCol w:w="1454"/>
      </w:tblGrid>
      <w:tr w:rsidR="000005C6" w14:paraId="73BD8462" w14:textId="77777777">
        <w:trPr>
          <w:trHeight w:val="283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3BABD23" w14:textId="77777777" w:rsidR="000005C6" w:rsidRDefault="000005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DF6C1EE" w14:textId="77777777" w:rsidR="000005C6" w:rsidRDefault="00C80E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最近３か月間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7A959D" w14:textId="77777777" w:rsidR="000005C6" w:rsidRDefault="00C80E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前年同期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FCA6CD1" w14:textId="77777777" w:rsidR="000005C6" w:rsidRDefault="00C80E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（Ａ÷Ｂ）－（ａ÷ｂ）</w:t>
            </w:r>
          </w:p>
        </w:tc>
      </w:tr>
      <w:tr w:rsidR="000005C6" w14:paraId="317C2D55" w14:textId="77777777">
        <w:trPr>
          <w:trHeight w:val="45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88CAA79" w14:textId="77777777" w:rsidR="000005C6" w:rsidRDefault="00C80E3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原材料等の仕入価格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774BBFF" w14:textId="77777777" w:rsidR="000005C6" w:rsidRDefault="00C80E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Ａ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45D0FE3" w14:textId="77777777" w:rsidR="000005C6" w:rsidRDefault="00C80E3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13740AB" w14:textId="77777777" w:rsidR="000005C6" w:rsidRDefault="00C80E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ａ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FB8CBB7" w14:textId="77777777" w:rsidR="000005C6" w:rsidRDefault="00C80E3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F6C2564" w14:textId="77777777" w:rsidR="000005C6" w:rsidRDefault="00C80E3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2E33530" w14:textId="77777777" w:rsidR="000005C6" w:rsidRDefault="00C80E3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>＞０</w:t>
            </w:r>
          </w:p>
        </w:tc>
      </w:tr>
      <w:tr w:rsidR="000005C6" w14:paraId="3D62EA93" w14:textId="77777777">
        <w:trPr>
          <w:trHeight w:val="45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3E3E6E1" w14:textId="77777777" w:rsidR="000005C6" w:rsidRDefault="00C80E3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売上高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91D06C6" w14:textId="77777777" w:rsidR="000005C6" w:rsidRDefault="00C80E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Ｂ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999CD3E" w14:textId="77777777" w:rsidR="000005C6" w:rsidRDefault="00C80E3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C63B245" w14:textId="77777777" w:rsidR="000005C6" w:rsidRDefault="00C80E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ｂ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7BAC661" w14:textId="77777777" w:rsidR="000005C6" w:rsidRDefault="00C80E3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3592B64" w14:textId="77777777" w:rsidR="000005C6" w:rsidRDefault="000005C6"/>
        </w:tc>
        <w:tc>
          <w:tcPr>
            <w:tcW w:w="14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EE25EFD" w14:textId="77777777" w:rsidR="000005C6" w:rsidRDefault="000005C6"/>
        </w:tc>
      </w:tr>
    </w:tbl>
    <w:p w14:paraId="16CDDB01" w14:textId="77777777" w:rsidR="000005C6" w:rsidRDefault="000005C6">
      <w:pPr>
        <w:rPr>
          <w:rFonts w:ascii="ＭＳ 明朝" w:hAnsi="ＭＳ 明朝"/>
          <w:color w:val="000000"/>
        </w:rPr>
      </w:pPr>
    </w:p>
    <w:p w14:paraId="7257616B" w14:textId="77777777" w:rsidR="000005C6" w:rsidRDefault="00C80E37">
      <w:pPr>
        <w:rPr>
          <w:rFonts w:ascii="ＭＳ 明朝" w:hAnsi="ＭＳ 明朝"/>
          <w:color w:val="00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 wp14:anchorId="264B524E" wp14:editId="32A151DA">
                <wp:simplePos x="0" y="0"/>
                <wp:positionH relativeFrom="column">
                  <wp:posOffset>-190500</wp:posOffset>
                </wp:positionH>
                <wp:positionV relativeFrom="paragraph">
                  <wp:posOffset>4445</wp:posOffset>
                </wp:positionV>
                <wp:extent cx="6676390" cy="0"/>
                <wp:effectExtent l="0" t="635" r="27305" b="10795"/>
                <wp:wrapNone/>
                <wp:docPr id="1033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63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7;" o:spid="_x0000_s1033" o:allowincell="t" o:allowoverlap="t" filled="f" stroked="t" strokecolor="#000000 [3200]" strokeweight="0.5pt" o:spt="20" from="-15pt,0.35pt" to="510.70000000000005pt,0.35pt">
                <v:fill/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10" behindDoc="0" locked="0" layoutInCell="1" hidden="0" allowOverlap="1" wp14:anchorId="71CDF807" wp14:editId="05B10A99">
                <wp:simplePos x="0" y="0"/>
                <wp:positionH relativeFrom="column">
                  <wp:posOffset>-391795</wp:posOffset>
                </wp:positionH>
                <wp:positionV relativeFrom="paragraph">
                  <wp:posOffset>142240</wp:posOffset>
                </wp:positionV>
                <wp:extent cx="337820" cy="1922145"/>
                <wp:effectExtent l="0" t="0" r="635" b="635"/>
                <wp:wrapNone/>
                <wp:docPr id="1034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192214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D9B29" w14:textId="77777777" w:rsidR="000005C6" w:rsidRDefault="00C80E37">
                            <w:r>
                              <w:rPr>
                                <w:rFonts w:hint="eastAsia"/>
                              </w:rPr>
                              <w:t>該当する場合のみ記入</w:t>
                            </w:r>
                          </w:p>
                        </w:txbxContent>
                      </wps:txbx>
                      <wps:bodyPr vertOverflow="overflow" horzOverflow="overflow" vert="eaVert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1.2pt;mso-position-vertical-relative:text;mso-position-horizontal-relative:text;v-text-anchor:middle;position:absolute;height:151.35pt;mso-wrap-distance-top:0pt;width:26.6pt;mso-wrap-distance-left:16pt;margin-left:-30.85pt;z-index:10;" o:spid="_x0000_s1034" o:allowincell="t" o:allowoverlap="t" filled="f" stroked="f" strokeweight="0.5pt" o:spt="202" type="#_x0000_t202">
                <v:fill/>
                <v:stroke linestyle="single"/>
                <v:textbox style="layout-flow:vertical-ideographic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該当する場合のみ記入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14:paraId="1D413E95" w14:textId="77777777" w:rsidR="000005C6" w:rsidRDefault="00C80E37">
      <w:pPr>
        <w:rPr>
          <w:rFonts w:ascii="ＭＳ 明朝" w:hAnsi="ＭＳ 明朝"/>
          <w:color w:val="00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11" behindDoc="0" locked="0" layoutInCell="1" hidden="0" allowOverlap="1" wp14:anchorId="73F05257" wp14:editId="6593CDBD">
                <wp:simplePos x="0" y="0"/>
                <wp:positionH relativeFrom="column">
                  <wp:posOffset>-84455</wp:posOffset>
                </wp:positionH>
                <wp:positionV relativeFrom="paragraph">
                  <wp:posOffset>30480</wp:posOffset>
                </wp:positionV>
                <wp:extent cx="107950" cy="1367790"/>
                <wp:effectExtent l="635" t="635" r="29845" b="10795"/>
                <wp:wrapNone/>
                <wp:docPr id="1035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367790"/>
                        </a:xfrm>
                        <a:prstGeom prst="leftBracket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オブジェクト 0" style="mso-wrap-distance-right:16pt;mso-wrap-distance-bottom:0pt;margin-top:2.4pt;mso-position-vertical-relative:text;mso-position-horizontal-relative:text;position:absolute;height:107.7pt;mso-wrap-distance-top:0pt;width:8.5pt;mso-wrap-distance-left:16pt;margin-left:-6.65pt;z-index:11;" o:spid="_x0000_s1035" o:allowincell="t" o:allowoverlap="t" filled="f" stroked="t" strokecolor="#000000 [3213]" strokeweight="0.5pt" o:spt="85" type="#_x0000_t85" adj="1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明朝" w:hAnsi="ＭＳ 明朝" w:hint="eastAsia"/>
          <w:color w:val="000000"/>
        </w:rPr>
        <w:t>【売上高または受注高が減少した場合】</w:t>
      </w:r>
    </w:p>
    <w:tbl>
      <w:tblPr>
        <w:tblW w:w="9865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2798"/>
        <w:gridCol w:w="381"/>
        <w:gridCol w:w="2797"/>
        <w:gridCol w:w="2042"/>
        <w:gridCol w:w="1466"/>
      </w:tblGrid>
      <w:tr w:rsidR="000005C6" w14:paraId="462E1841" w14:textId="77777777">
        <w:trPr>
          <w:trHeight w:val="283"/>
        </w:trPr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B0AA594" w14:textId="77777777" w:rsidR="000005C6" w:rsidRDefault="00C80E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</w:rPr>
              <w:t>直近３か月間の売上高等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27F1B99" w14:textId="77777777" w:rsidR="000005C6" w:rsidRDefault="00C80E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前年等同期の売上高等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15287BD" w14:textId="77777777" w:rsidR="000005C6" w:rsidRDefault="00C80E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</w:t>
            </w:r>
            <w:r>
              <w:rPr>
                <w:rFonts w:ascii="ＭＳ 明朝" w:hAnsi="ＭＳ 明朝" w:hint="eastAsia"/>
              </w:rPr>
              <w:t>－Ｇ</w:t>
            </w:r>
          </w:p>
        </w:tc>
      </w:tr>
      <w:tr w:rsidR="000005C6" w14:paraId="5A528DF8" w14:textId="77777777">
        <w:trPr>
          <w:trHeight w:val="45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1655119" w14:textId="77777777" w:rsidR="000005C6" w:rsidRDefault="00C80E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</w:rPr>
              <w:t>Ｆ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6E523F7" w14:textId="77777777" w:rsidR="000005C6" w:rsidRDefault="00C80E3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FA1AC8C" w14:textId="77777777" w:rsidR="000005C6" w:rsidRDefault="00C80E3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</w:rPr>
              <w:t>Ｇ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8654D53" w14:textId="77777777" w:rsidR="000005C6" w:rsidRDefault="00C80E3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1545A86" w14:textId="77777777" w:rsidR="000005C6" w:rsidRDefault="00C80E3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C217356" w14:textId="77777777" w:rsidR="000005C6" w:rsidRDefault="00C80E3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>＜０</w:t>
            </w:r>
          </w:p>
        </w:tc>
      </w:tr>
    </w:tbl>
    <w:p w14:paraId="2C1D5A4E" w14:textId="77777777" w:rsidR="000005C6" w:rsidRDefault="000005C6">
      <w:pPr>
        <w:spacing w:line="180" w:lineRule="auto"/>
        <w:rPr>
          <w:rFonts w:ascii="ＭＳ 明朝" w:hAnsi="ＭＳ 明朝"/>
          <w:color w:val="000000"/>
        </w:rPr>
      </w:pPr>
    </w:p>
    <w:p w14:paraId="7D1E3BCC" w14:textId="77777777" w:rsidR="000005C6" w:rsidRDefault="00C80E37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【セーフティネット第５号の認定を受けた場合】</w:t>
      </w:r>
    </w:p>
    <w:p w14:paraId="0BE8FCAB" w14:textId="77777777" w:rsidR="000005C6" w:rsidRDefault="00C80E37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□</w:t>
      </w:r>
      <w:r>
        <w:rPr>
          <w:rFonts w:ascii="ＭＳ 明朝" w:hAnsi="ＭＳ 明朝" w:hint="eastAsia"/>
          <w:color w:val="000000"/>
        </w:rPr>
        <w:t xml:space="preserve"> </w:t>
      </w:r>
      <w:r>
        <w:rPr>
          <w:rFonts w:ascii="ＭＳ 明朝" w:hAnsi="ＭＳ 明朝" w:hint="eastAsia"/>
          <w:color w:val="000000"/>
        </w:rPr>
        <w:t>所管する市町村長の認定を受けた中小企業信用保険法第２条第５項第５号ロの規定に</w:t>
      </w:r>
    </w:p>
    <w:p w14:paraId="0431F3D5" w14:textId="77777777" w:rsidR="000005C6" w:rsidRDefault="00C80E37">
      <w:pPr>
        <w:ind w:firstLineChars="150" w:firstLine="361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よる認定申請書を添付してください。</w:t>
      </w:r>
    </w:p>
    <w:p w14:paraId="0B63DF57" w14:textId="77777777" w:rsidR="000005C6" w:rsidRDefault="000005C6">
      <w:pPr>
        <w:spacing w:line="180" w:lineRule="auto"/>
        <w:rPr>
          <w:rFonts w:ascii="ＭＳ 明朝" w:hAnsi="ＭＳ 明朝"/>
          <w:color w:val="000000"/>
        </w:rPr>
      </w:pPr>
    </w:p>
    <w:p w14:paraId="117BBF7C" w14:textId="77777777" w:rsidR="000005C6" w:rsidRDefault="00C80E37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※申請者全体の値を記載してください。</w:t>
      </w:r>
    </w:p>
    <w:p w14:paraId="536DB856" w14:textId="77777777" w:rsidR="000005C6" w:rsidRDefault="000005C6">
      <w:pPr>
        <w:rPr>
          <w:rFonts w:ascii="ＭＳ 明朝" w:hAnsi="ＭＳ 明朝"/>
          <w:color w:val="00000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40"/>
      </w:tblGrid>
      <w:tr w:rsidR="000005C6" w14:paraId="1B3CD910" w14:textId="77777777">
        <w:trPr>
          <w:trHeight w:val="2046"/>
        </w:trPr>
        <w:tc>
          <w:tcPr>
            <w:tcW w:w="9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458F3D" w14:textId="77777777" w:rsidR="000005C6" w:rsidRDefault="00C80E37">
            <w:pPr>
              <w:ind w:leftChars="100" w:left="241" w:rightChars="147" w:right="35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上記</w:t>
            </w:r>
            <w:r>
              <w:rPr>
                <w:rFonts w:ascii="ＭＳ 明朝" w:hAnsi="ＭＳ 明朝" w:hint="eastAsia"/>
                <w:color w:val="000000"/>
                <w:u w:val="single"/>
              </w:rPr>
              <w:t>（中小企業社名）</w:t>
            </w:r>
            <w:r>
              <w:rPr>
                <w:rFonts w:ascii="ＭＳ 明朝" w:hAnsi="ＭＳ 明朝" w:hint="eastAsia"/>
                <w:color w:val="000000"/>
              </w:rPr>
              <w:t>について、仕入伝票等の根拠資料により、製品原価のうち</w:t>
            </w:r>
            <w:r>
              <w:rPr>
                <w:rFonts w:ascii="ＭＳ 明朝" w:hAnsi="ＭＳ 明朝" w:hint="eastAsia"/>
                <w:color w:val="000000"/>
              </w:rPr>
              <w:t>20</w:t>
            </w:r>
            <w:r>
              <w:rPr>
                <w:rFonts w:ascii="ＭＳ 明朝" w:hAnsi="ＭＳ 明朝" w:hint="eastAsia"/>
                <w:color w:val="000000"/>
              </w:rPr>
              <w:t>％以上を占める原材料等の仕入価格が</w:t>
            </w:r>
            <w:r>
              <w:rPr>
                <w:rFonts w:ascii="ＭＳ 明朝" w:hAnsi="ＭＳ 明朝" w:hint="eastAsia"/>
                <w:color w:val="000000"/>
              </w:rPr>
              <w:t>20</w:t>
            </w:r>
            <w:r>
              <w:rPr>
                <w:rFonts w:ascii="ＭＳ 明朝" w:hAnsi="ＭＳ 明朝" w:hint="eastAsia"/>
                <w:color w:val="000000"/>
              </w:rPr>
              <w:t>％以上上昇しているにもかかわらず、製品等価格に転嫁できていないこと（及び売上高等が減少していること）を確認しました。</w:t>
            </w:r>
          </w:p>
          <w:p w14:paraId="0E94E264" w14:textId="77777777" w:rsidR="000005C6" w:rsidRDefault="000005C6">
            <w:pPr>
              <w:rPr>
                <w:rFonts w:ascii="ＭＳ 明朝" w:hAnsi="ＭＳ 明朝"/>
                <w:color w:val="000000"/>
              </w:rPr>
            </w:pPr>
          </w:p>
          <w:p w14:paraId="00BDD7E5" w14:textId="77777777" w:rsidR="000005C6" w:rsidRDefault="00C80E37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  </w:t>
            </w:r>
            <w:r>
              <w:rPr>
                <w:rFonts w:ascii="ＭＳ 明朝" w:hAnsi="ＭＳ 明朝" w:hint="eastAsia"/>
                <w:color w:val="000000"/>
              </w:rPr>
              <w:t>令和　　年　　月　　日</w:t>
            </w:r>
          </w:p>
          <w:p w14:paraId="0E101D33" w14:textId="77777777" w:rsidR="000005C6" w:rsidRDefault="00C80E37">
            <w:pPr>
              <w:ind w:firstLineChars="1700" w:firstLine="4096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u w:val="single"/>
              </w:rPr>
              <w:t>（金融機関名）　　　　　　　　　　　　　印</w:t>
            </w:r>
          </w:p>
        </w:tc>
      </w:tr>
    </w:tbl>
    <w:p w14:paraId="08600E40" w14:textId="77777777" w:rsidR="000005C6" w:rsidRDefault="000005C6">
      <w:pPr>
        <w:rPr>
          <w:rFonts w:ascii="ＭＳ 明朝" w:hAnsi="ＭＳ 明朝"/>
          <w:color w:val="000000"/>
        </w:rPr>
      </w:pPr>
    </w:p>
    <w:sectPr w:rsidR="000005C6">
      <w:headerReference w:type="default" r:id="rId7"/>
      <w:footerReference w:type="even" r:id="rId8"/>
      <w:footerReference w:type="default" r:id="rId9"/>
      <w:pgSz w:w="11906" w:h="16838"/>
      <w:pgMar w:top="680" w:right="1077" w:bottom="680" w:left="1077" w:header="567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 w:frame="1"/>
        <w:right w:val="single" w:sz="4" w:space="24" w:color="auto" w:frame="1"/>
      </w:pgBorders>
      <w:pgNumType w:fmt="numberInDash" w:start="24"/>
      <w:cols w:space="720"/>
      <w:docGrid w:type="linesAndChars" w:linePitch="28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866BC" w14:textId="77777777" w:rsidR="00000000" w:rsidRDefault="00C80E37">
      <w:r>
        <w:separator/>
      </w:r>
    </w:p>
  </w:endnote>
  <w:endnote w:type="continuationSeparator" w:id="0">
    <w:p w14:paraId="1F62E6AA" w14:textId="77777777" w:rsidR="00000000" w:rsidRDefault="00C8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602E" w14:textId="77777777" w:rsidR="000005C6" w:rsidRDefault="00C80E37">
    <w:pPr>
      <w:pStyle w:val="a3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t>- 20 -</w:t>
    </w:r>
    <w:r>
      <w:rPr>
        <w:rFonts w:hint="eastAsia"/>
      </w:rPr>
      <w:fldChar w:fldCharType="end"/>
    </w:r>
  </w:p>
  <w:p w14:paraId="3B418C7E" w14:textId="77777777" w:rsidR="000005C6" w:rsidRDefault="000005C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172EF" w14:textId="77777777" w:rsidR="000005C6" w:rsidRDefault="000005C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8A87E" w14:textId="77777777" w:rsidR="00000000" w:rsidRDefault="00C80E37">
      <w:r>
        <w:separator/>
      </w:r>
    </w:p>
  </w:footnote>
  <w:footnote w:type="continuationSeparator" w:id="0">
    <w:p w14:paraId="688E8A26" w14:textId="77777777" w:rsidR="00000000" w:rsidRDefault="00C80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C4225" w14:textId="77777777" w:rsidR="000005C6" w:rsidRDefault="00C80E37">
    <w:pPr>
      <w:pStyle w:val="a6"/>
      <w:ind w:firstLineChars="4100" w:firstLine="7380"/>
      <w:jc w:val="right"/>
      <w:rPr>
        <w:i/>
        <w:sz w:val="18"/>
        <w:u w:val="single"/>
      </w:rPr>
    </w:pPr>
    <w:r>
      <w:rPr>
        <w:rFonts w:hint="eastAsia"/>
        <w:i/>
        <w:sz w:val="18"/>
        <w:u w:val="single"/>
      </w:rPr>
      <w:t>経営安定資金融資制度要領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5A62650"/>
    <w:lvl w:ilvl="0" w:tplc="0000000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0000000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00000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00000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00000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00000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00000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00000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00000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BFE667A8"/>
    <w:lvl w:ilvl="0" w:tplc="00000000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0000000"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0000000"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0000000"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0000000"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0000000"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0000000"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0000000"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0000000"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821237083">
    <w:abstractNumId w:val="0"/>
  </w:num>
  <w:num w:numId="2" w16cid:durableId="1153643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efaultTableStyle w:val="1"/>
  <w:drawingGridHorizontalSpacing w:val="24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C6"/>
    <w:rsid w:val="000005C6"/>
    <w:rsid w:val="00C8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D65A7D"/>
  <w15:chartTrackingRefBased/>
  <w15:docId w15:val="{C0F73818-8B9B-40A3-BAD0-B4541C61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Pr>
      <w:kern w:val="2"/>
      <w:sz w:val="21"/>
    </w:rPr>
  </w:style>
  <w:style w:type="character" w:customStyle="1" w:styleId="a7">
    <w:name w:val="ヘッダー (文字)"/>
    <w:link w:val="a6"/>
    <w:rPr>
      <w:kern w:val="2"/>
      <w:sz w:val="21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paragraph" w:styleId="aa">
    <w:name w:val="List Paragraph"/>
    <w:basedOn w:val="a"/>
    <w:qFormat/>
    <w:pPr>
      <w:ind w:leftChars="400" w:left="840"/>
    </w:pPr>
  </w:style>
  <w:style w:type="character" w:styleId="ab">
    <w:name w:val="footnote reference"/>
    <w:semiHidden/>
    <w:rPr>
      <w:vertAlign w:val="superscript"/>
    </w:rPr>
  </w:style>
  <w:style w:type="character" w:styleId="ac">
    <w:name w:val="endnote reference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610</Words>
  <Characters>205</Characters>
  <Application>Microsoft Office Word</Application>
  <DocSecurity>0</DocSecurity>
  <Lines>1</Lines>
  <Paragraphs>1</Paragraphs>
  <ScaleCrop>false</ScaleCrop>
  <Company>秋田県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秋田県新事業展開資金融資制度要領</dc:title>
  <dc:creator>12643</dc:creator>
  <cp:lastModifiedBy>企画</cp:lastModifiedBy>
  <cp:revision>2</cp:revision>
  <cp:lastPrinted>2022-05-30T07:17:00Z</cp:lastPrinted>
  <dcterms:created xsi:type="dcterms:W3CDTF">2022-08-15T07:16:00Z</dcterms:created>
  <dcterms:modified xsi:type="dcterms:W3CDTF">2022-08-15T07:16:00Z</dcterms:modified>
</cp:coreProperties>
</file>